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C709" w14:textId="1F4D109D" w:rsidR="00B37F71" w:rsidRPr="00542957" w:rsidRDefault="00B37F71" w:rsidP="00B37F7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42957"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542957">
        <w:rPr>
          <w:rFonts w:ascii="Times New Roman" w:hAnsi="Times New Roman"/>
          <w:b/>
          <w:bCs/>
          <w:sz w:val="28"/>
          <w:szCs w:val="28"/>
        </w:rPr>
        <w:t>«Сказочный мир»</w:t>
      </w:r>
    </w:p>
    <w:p w14:paraId="5C516534" w14:textId="44E2E9F3" w:rsidR="00B37F71" w:rsidRPr="00542957" w:rsidRDefault="00B37F71" w:rsidP="00B37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 xml:space="preserve">Задания разработаны с учетом выполнения на базе программируемого конструктора Lego Education </w:t>
      </w:r>
      <w:proofErr w:type="spellStart"/>
      <w:r w:rsidRPr="00542957">
        <w:rPr>
          <w:rFonts w:ascii="Times New Roman" w:hAnsi="Times New Roman"/>
          <w:sz w:val="28"/>
          <w:szCs w:val="28"/>
        </w:rPr>
        <w:t>WeDo</w:t>
      </w:r>
      <w:proofErr w:type="spellEnd"/>
      <w:r w:rsidRPr="00542957">
        <w:rPr>
          <w:rFonts w:ascii="Times New Roman" w:hAnsi="Times New Roman"/>
          <w:sz w:val="28"/>
          <w:szCs w:val="28"/>
        </w:rPr>
        <w:t xml:space="preserve"> 1.0 (9580).</w:t>
      </w:r>
    </w:p>
    <w:p w14:paraId="39A4611F" w14:textId="77777777" w:rsidR="00B37F71" w:rsidRPr="00542957" w:rsidRDefault="00B37F71" w:rsidP="00B37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>Конкурс предполагает два этапа – теоретический и практический.</w:t>
      </w:r>
    </w:p>
    <w:p w14:paraId="722EA4F2" w14:textId="25AB103D" w:rsidR="00B37F71" w:rsidRPr="00542957" w:rsidRDefault="00B37F71" w:rsidP="00B37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>Теоретический этап ориентирован на проверку знаний</w:t>
      </w:r>
      <w:r w:rsidRPr="00542957">
        <w:rPr>
          <w:rFonts w:ascii="Times New Roman" w:hAnsi="Times New Roman"/>
          <w:sz w:val="28"/>
          <w:szCs w:val="28"/>
        </w:rPr>
        <w:br/>
        <w:t xml:space="preserve">у участников, касающихся деталей конструктора, их назначения, </w:t>
      </w:r>
      <w:r w:rsidRPr="00542957">
        <w:rPr>
          <w:rFonts w:ascii="Times New Roman" w:hAnsi="Times New Roman"/>
          <w:sz w:val="28"/>
          <w:szCs w:val="28"/>
        </w:rPr>
        <w:br/>
        <w:t xml:space="preserve">а также умения «читать» программы, написанные на языке программирования LEGO Education </w:t>
      </w:r>
      <w:proofErr w:type="spellStart"/>
      <w:r w:rsidRPr="00542957">
        <w:rPr>
          <w:rFonts w:ascii="Times New Roman" w:hAnsi="Times New Roman"/>
          <w:sz w:val="28"/>
          <w:szCs w:val="28"/>
        </w:rPr>
        <w:t>WeDo</w:t>
      </w:r>
      <w:proofErr w:type="spellEnd"/>
      <w:r w:rsidRPr="00542957">
        <w:rPr>
          <w:rFonts w:ascii="Times New Roman" w:hAnsi="Times New Roman"/>
          <w:sz w:val="28"/>
          <w:szCs w:val="28"/>
        </w:rPr>
        <w:t>. Задание представлено в форме теста (с выбором одного или нескольких вариантов ответа, задания на соответствие, определение последовательности и т.д.). Тест решается командой коллективно (на двух участников дается один тест). На выполнение теоретического этапа отводится не более 20 минут.</w:t>
      </w:r>
    </w:p>
    <w:p w14:paraId="027ACB15" w14:textId="17EA5C73" w:rsidR="00B37F71" w:rsidRPr="00542957" w:rsidRDefault="00B37F71" w:rsidP="00B37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F70">
        <w:rPr>
          <w:rFonts w:ascii="Times New Roman" w:hAnsi="Times New Roman"/>
          <w:sz w:val="28"/>
          <w:szCs w:val="28"/>
        </w:rPr>
        <w:t xml:space="preserve">При прохождении практического этапа участникам необходимо собрать предложенную модель по изображению, разработать для нее программу, самостоятельно усовершенствовать программу, согласно заданиям жюри. Для проведения практического этапа команде предоставляется </w:t>
      </w:r>
      <w:r w:rsidRPr="00542957">
        <w:rPr>
          <w:rFonts w:ascii="Times New Roman" w:hAnsi="Times New Roman"/>
          <w:sz w:val="28"/>
          <w:szCs w:val="28"/>
        </w:rPr>
        <w:t>время до 40 минут. Изображение модели и задания по программированию выдаются участникам в печатном виде.</w:t>
      </w:r>
    </w:p>
    <w:p w14:paraId="3BCD9F26" w14:textId="77777777" w:rsidR="00B37F71" w:rsidRPr="00542957" w:rsidRDefault="00B37F71" w:rsidP="00B37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 xml:space="preserve">Для участия в конкурсе каждой команде необходимо иметь конструктор, ноутбук. Необходимое оборудование команды привозят самостоятельно. </w:t>
      </w:r>
    </w:p>
    <w:p w14:paraId="5A5F4953" w14:textId="77777777" w:rsidR="00B37F71" w:rsidRPr="00542957" w:rsidRDefault="00B37F71" w:rsidP="00B37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42957">
        <w:rPr>
          <w:rFonts w:ascii="Times New Roman" w:hAnsi="Times New Roman"/>
          <w:iCs/>
          <w:sz w:val="28"/>
          <w:szCs w:val="28"/>
        </w:rPr>
        <w:t>Показатели и критерии оценок практического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918"/>
        <w:gridCol w:w="4838"/>
      </w:tblGrid>
      <w:tr w:rsidR="00B37F71" w:rsidRPr="00542957" w14:paraId="7DD05974" w14:textId="77777777" w:rsidTr="00542957">
        <w:trPr>
          <w:cantSplit/>
        </w:trPr>
        <w:tc>
          <w:tcPr>
            <w:tcW w:w="3589" w:type="dxa"/>
            <w:shd w:val="clear" w:color="auto" w:fill="auto"/>
            <w:vAlign w:val="center"/>
          </w:tcPr>
          <w:p w14:paraId="148CE1CD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BBF377B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 xml:space="preserve">Макс. </w:t>
            </w:r>
            <w:r w:rsidRPr="00542957">
              <w:rPr>
                <w:rFonts w:ascii="Times New Roman" w:hAnsi="Times New Roman"/>
                <w:sz w:val="24"/>
                <w:szCs w:val="24"/>
              </w:rPr>
              <w:br/>
              <w:t>кол-во баллов</w:t>
            </w:r>
          </w:p>
        </w:tc>
        <w:tc>
          <w:tcPr>
            <w:tcW w:w="4838" w:type="dxa"/>
            <w:vAlign w:val="center"/>
          </w:tcPr>
          <w:p w14:paraId="71C06ADB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37F71" w:rsidRPr="00542957" w14:paraId="344ED02F" w14:textId="77777777" w:rsidTr="00542957">
        <w:trPr>
          <w:cantSplit/>
        </w:trPr>
        <w:tc>
          <w:tcPr>
            <w:tcW w:w="3589" w:type="dxa"/>
            <w:shd w:val="clear" w:color="auto" w:fill="auto"/>
          </w:tcPr>
          <w:p w14:paraId="3D04A7C2" w14:textId="77777777" w:rsidR="00B37F71" w:rsidRPr="00542957" w:rsidRDefault="00B37F71" w:rsidP="00777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Теоретический тест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6A4979D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38" w:type="dxa"/>
          </w:tcPr>
          <w:p w14:paraId="23594F95" w14:textId="77777777" w:rsidR="00B37F71" w:rsidRPr="00777F70" w:rsidRDefault="00B37F71" w:rsidP="00EB18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70">
              <w:rPr>
                <w:rFonts w:ascii="Times New Roman" w:hAnsi="Times New Roman"/>
                <w:sz w:val="24"/>
                <w:szCs w:val="24"/>
              </w:rPr>
              <w:t>2 балла за правильный ответ</w:t>
            </w:r>
          </w:p>
        </w:tc>
      </w:tr>
      <w:tr w:rsidR="00B37F71" w:rsidRPr="00542957" w14:paraId="1F814E84" w14:textId="77777777" w:rsidTr="00542957">
        <w:trPr>
          <w:cantSplit/>
        </w:trPr>
        <w:tc>
          <w:tcPr>
            <w:tcW w:w="3589" w:type="dxa"/>
            <w:shd w:val="clear" w:color="auto" w:fill="auto"/>
          </w:tcPr>
          <w:p w14:paraId="4E9578BC" w14:textId="77777777" w:rsidR="00B37F71" w:rsidRPr="00542957" w:rsidRDefault="00B37F71" w:rsidP="00777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Соответствие предложенной модели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745A015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38" w:type="dxa"/>
          </w:tcPr>
          <w:p w14:paraId="251B3307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F71" w:rsidRPr="00542957" w14:paraId="4E666DAE" w14:textId="77777777" w:rsidTr="00542957">
        <w:trPr>
          <w:cantSplit/>
        </w:trPr>
        <w:tc>
          <w:tcPr>
            <w:tcW w:w="3589" w:type="dxa"/>
            <w:shd w:val="clear" w:color="auto" w:fill="auto"/>
          </w:tcPr>
          <w:p w14:paraId="3EADCF8E" w14:textId="77777777" w:rsidR="00B37F71" w:rsidRPr="00542957" w:rsidRDefault="00B37F71" w:rsidP="00777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D005DDE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38" w:type="dxa"/>
          </w:tcPr>
          <w:p w14:paraId="021DDAFB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F71" w:rsidRPr="00542957" w14:paraId="60BC66C9" w14:textId="77777777" w:rsidTr="00542957">
        <w:trPr>
          <w:cantSplit/>
        </w:trPr>
        <w:tc>
          <w:tcPr>
            <w:tcW w:w="3589" w:type="dxa"/>
            <w:shd w:val="clear" w:color="auto" w:fill="auto"/>
          </w:tcPr>
          <w:p w14:paraId="4A8A8348" w14:textId="77777777" w:rsidR="00B37F71" w:rsidRPr="00542957" w:rsidRDefault="00B37F71" w:rsidP="00777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Качество изготовления механизмов, надежность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EDB2E2F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38" w:type="dxa"/>
          </w:tcPr>
          <w:p w14:paraId="7987906C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F71" w:rsidRPr="00542957" w14:paraId="202BD542" w14:textId="77777777" w:rsidTr="00542957">
        <w:trPr>
          <w:cantSplit/>
        </w:trPr>
        <w:tc>
          <w:tcPr>
            <w:tcW w:w="3589" w:type="dxa"/>
            <w:shd w:val="clear" w:color="auto" w:fill="auto"/>
          </w:tcPr>
          <w:p w14:paraId="36C0080F" w14:textId="77777777" w:rsidR="00B37F71" w:rsidRPr="00542957" w:rsidRDefault="00B37F71" w:rsidP="00777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Базовая программа управления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001F587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38" w:type="dxa"/>
          </w:tcPr>
          <w:p w14:paraId="6634F9DB" w14:textId="77777777" w:rsidR="00B37F71" w:rsidRPr="00542957" w:rsidRDefault="00B37F71" w:rsidP="00B37F71">
            <w:pPr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5 баллов – программа содержит 5 и более блоков</w:t>
            </w:r>
          </w:p>
          <w:p w14:paraId="19624125" w14:textId="77777777" w:rsidR="00B37F71" w:rsidRPr="00542957" w:rsidRDefault="00B37F71" w:rsidP="00B37F71">
            <w:pPr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 xml:space="preserve">5 баллов – отсутствие неиспользуемых блоков </w:t>
            </w:r>
          </w:p>
          <w:p w14:paraId="6969F012" w14:textId="77777777" w:rsidR="00B37F71" w:rsidRPr="00542957" w:rsidRDefault="00B37F71" w:rsidP="00B37F71">
            <w:pPr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5 баллов – наличие блоков датчика</w:t>
            </w:r>
          </w:p>
        </w:tc>
      </w:tr>
      <w:tr w:rsidR="00B37F71" w:rsidRPr="00542957" w14:paraId="53BD5BBE" w14:textId="77777777" w:rsidTr="00542957">
        <w:trPr>
          <w:cantSplit/>
        </w:trPr>
        <w:tc>
          <w:tcPr>
            <w:tcW w:w="3589" w:type="dxa"/>
            <w:shd w:val="clear" w:color="auto" w:fill="auto"/>
          </w:tcPr>
          <w:p w14:paraId="4CA0FBF9" w14:textId="77777777" w:rsidR="00B37F71" w:rsidRPr="00542957" w:rsidRDefault="00B37F71" w:rsidP="00777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Усовершенствованная программа управления робототехнической системой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6EF65BC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38" w:type="dxa"/>
          </w:tcPr>
          <w:p w14:paraId="391EB4D0" w14:textId="77777777" w:rsidR="00B37F71" w:rsidRPr="00542957" w:rsidRDefault="00B37F71" w:rsidP="00B37F71">
            <w:pPr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до 10 баллов – логичная последовательность команд (правильно составленные алгоритмы, чистота скрипта, отсутствие лишних блоков)</w:t>
            </w:r>
          </w:p>
          <w:p w14:paraId="6A0B6F65" w14:textId="77777777" w:rsidR="00B37F71" w:rsidRPr="00542957" w:rsidRDefault="00B37F71" w:rsidP="00B37F71">
            <w:pPr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до 10 баллов – усложнение базовой программы, наличие подпрограмм, использование экрана и звуков</w:t>
            </w:r>
          </w:p>
        </w:tc>
      </w:tr>
      <w:tr w:rsidR="00B37F71" w:rsidRPr="00542957" w14:paraId="564B15E0" w14:textId="77777777" w:rsidTr="00542957">
        <w:trPr>
          <w:cantSplit/>
        </w:trPr>
        <w:tc>
          <w:tcPr>
            <w:tcW w:w="3589" w:type="dxa"/>
            <w:shd w:val="clear" w:color="auto" w:fill="auto"/>
          </w:tcPr>
          <w:p w14:paraId="22757100" w14:textId="081B7103" w:rsidR="00B37F71" w:rsidRPr="00542957" w:rsidRDefault="00542957" w:rsidP="00777F7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2957">
              <w:rPr>
                <w:rFonts w:ascii="Times New Roman" w:hAnsi="Times New Roman"/>
                <w:sz w:val="24"/>
                <w:szCs w:val="24"/>
              </w:rPr>
              <w:t>плоченность</w:t>
            </w:r>
            <w:r w:rsidR="00B37F71" w:rsidRPr="00542957">
              <w:rPr>
                <w:rFonts w:ascii="Times New Roman" w:hAnsi="Times New Roman"/>
                <w:sz w:val="24"/>
                <w:szCs w:val="24"/>
              </w:rPr>
              <w:t xml:space="preserve"> команды, соблюдение правил поведения и техники безопасности во время соревнований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E7CD2D6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8" w:type="dxa"/>
          </w:tcPr>
          <w:p w14:paraId="65B11A4E" w14:textId="77777777" w:rsidR="00B37F71" w:rsidRPr="00542957" w:rsidRDefault="00B37F71" w:rsidP="00EB18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57" w:rsidRPr="00542957" w14:paraId="0A699AC5" w14:textId="77777777" w:rsidTr="00542957">
        <w:trPr>
          <w:cantSplit/>
        </w:trPr>
        <w:tc>
          <w:tcPr>
            <w:tcW w:w="3589" w:type="dxa"/>
            <w:shd w:val="clear" w:color="auto" w:fill="auto"/>
          </w:tcPr>
          <w:p w14:paraId="74200CB6" w14:textId="26F72277" w:rsidR="00542957" w:rsidRDefault="00542957" w:rsidP="00542957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 w14:paraId="3AB9F144" w14:textId="0E44ECFC" w:rsidR="00542957" w:rsidRPr="00542957" w:rsidRDefault="00542957" w:rsidP="0054295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9930FAA" w14:textId="77777777" w:rsidR="00B37F71" w:rsidRPr="00542957" w:rsidRDefault="00B37F71" w:rsidP="00B37F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2957">
        <w:rPr>
          <w:rFonts w:ascii="Times New Roman" w:hAnsi="Times New Roman"/>
          <w:sz w:val="28"/>
        </w:rPr>
        <w:t>При равной сумме баллов – учитывается время выполнения практического задания.</w:t>
      </w:r>
    </w:p>
    <w:sectPr w:rsidR="00B37F71" w:rsidRPr="00542957" w:rsidSect="00777F70">
      <w:footerReference w:type="default" r:id="rId8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B776" w14:textId="77777777" w:rsidR="000D5630" w:rsidRDefault="000D5630">
      <w:pPr>
        <w:spacing w:after="0" w:line="240" w:lineRule="auto"/>
      </w:pPr>
      <w:r>
        <w:separator/>
      </w:r>
    </w:p>
  </w:endnote>
  <w:endnote w:type="continuationSeparator" w:id="0">
    <w:p w14:paraId="710748A0" w14:textId="77777777" w:rsidR="000D5630" w:rsidRDefault="000D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49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BB1D32D" w14:textId="621A3B44" w:rsidR="00EB2D03" w:rsidRPr="00EB2D03" w:rsidRDefault="000D5630" w:rsidP="00EB2D0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562D" w14:textId="77777777" w:rsidR="000D5630" w:rsidRDefault="000D5630">
      <w:pPr>
        <w:spacing w:after="0" w:line="240" w:lineRule="auto"/>
      </w:pPr>
      <w:r>
        <w:separator/>
      </w:r>
    </w:p>
  </w:footnote>
  <w:footnote w:type="continuationSeparator" w:id="0">
    <w:p w14:paraId="2039777C" w14:textId="77777777" w:rsidR="000D5630" w:rsidRDefault="000D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7526"/>
    <w:multiLevelType w:val="singleLevel"/>
    <w:tmpl w:val="04190001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</w:abstractNum>
  <w:abstractNum w:abstractNumId="1" w15:restartNumberingAfterBreak="0">
    <w:nsid w:val="125D2B57"/>
    <w:multiLevelType w:val="hybridMultilevel"/>
    <w:tmpl w:val="BA4EC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C48BF"/>
    <w:multiLevelType w:val="hybridMultilevel"/>
    <w:tmpl w:val="AE3487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846FF9"/>
    <w:multiLevelType w:val="hybridMultilevel"/>
    <w:tmpl w:val="2CA8B5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FE5F5B"/>
    <w:multiLevelType w:val="hybridMultilevel"/>
    <w:tmpl w:val="A6CA0608"/>
    <w:lvl w:ilvl="0" w:tplc="04190001">
      <w:start w:val="1"/>
      <w:numFmt w:val="bullet"/>
      <w:lvlText w:val=""/>
      <w:lvlJc w:val="left"/>
      <w:pPr>
        <w:ind w:left="127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10537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6A551F"/>
    <w:multiLevelType w:val="hybridMultilevel"/>
    <w:tmpl w:val="80C0D8CC"/>
    <w:lvl w:ilvl="0" w:tplc="04190001">
      <w:start w:val="1"/>
      <w:numFmt w:val="bullet"/>
      <w:lvlText w:val=""/>
      <w:lvlJc w:val="left"/>
      <w:pPr>
        <w:ind w:left="127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78918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147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57CA25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71440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08"/>
    <w:rsid w:val="000D25BB"/>
    <w:rsid w:val="000D5630"/>
    <w:rsid w:val="001B6908"/>
    <w:rsid w:val="002E2130"/>
    <w:rsid w:val="0033310B"/>
    <w:rsid w:val="00363D74"/>
    <w:rsid w:val="004679DE"/>
    <w:rsid w:val="00531D00"/>
    <w:rsid w:val="00542957"/>
    <w:rsid w:val="006737F0"/>
    <w:rsid w:val="006C0B77"/>
    <w:rsid w:val="00777F70"/>
    <w:rsid w:val="008242FF"/>
    <w:rsid w:val="00870751"/>
    <w:rsid w:val="008D7642"/>
    <w:rsid w:val="00922C48"/>
    <w:rsid w:val="00B37F71"/>
    <w:rsid w:val="00B915B7"/>
    <w:rsid w:val="00BE53B6"/>
    <w:rsid w:val="00C07B65"/>
    <w:rsid w:val="00C37061"/>
    <w:rsid w:val="00CA3681"/>
    <w:rsid w:val="00E049E2"/>
    <w:rsid w:val="00EA59DF"/>
    <w:rsid w:val="00EB2D03"/>
    <w:rsid w:val="00EE4070"/>
    <w:rsid w:val="00F12C76"/>
    <w:rsid w:val="00F14C7E"/>
    <w:rsid w:val="00F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29B5"/>
  <w15:chartTrackingRefBased/>
  <w15:docId w15:val="{02D85FDA-ADC3-4C01-AB08-ECFA10A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3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2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2130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EB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D03"/>
    <w:rPr>
      <w:rFonts w:ascii="Calibri" w:eastAsia="Calibri" w:hAnsi="Calibri" w:cs="Times New Roman"/>
      <w:kern w:val="0"/>
      <w14:ligatures w14:val="none"/>
    </w:rPr>
  </w:style>
  <w:style w:type="paragraph" w:customStyle="1" w:styleId="Docsubtitle2">
    <w:name w:val="Doc subtitle2"/>
    <w:basedOn w:val="a"/>
    <w:link w:val="Docsubtitle2Char"/>
    <w:qFormat/>
    <w:rsid w:val="00EB2D03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EB2D03"/>
    <w:rPr>
      <w:rFonts w:ascii="Arial" w:eastAsia="Calibri" w:hAnsi="Arial" w:cs="Times New Roman"/>
      <w:kern w:val="0"/>
      <w:sz w:val="28"/>
      <w:szCs w:val="2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0BA1-D618-47F8-87F5-E09CF97B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gulinsky.evgeny@gmail.com</cp:lastModifiedBy>
  <cp:revision>12</cp:revision>
  <dcterms:created xsi:type="dcterms:W3CDTF">2024-04-19T07:10:00Z</dcterms:created>
  <dcterms:modified xsi:type="dcterms:W3CDTF">2025-04-11T09:44:00Z</dcterms:modified>
</cp:coreProperties>
</file>